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24 vom 6. Mai 2025</w:t>
      </w:r>
    </w:p>
    <w:p>
      <w:r>
        <w:t>VS Kantonsgericht, 2025-05-06, FR</w:t>
      </w:r>
    </w:p>
    <w:p>
      <w:r>
        <w:rPr>
          <w:b/>
        </w:rPr>
        <w:t xml:space="preserve">Quelle: </w:t>
      </w:r>
      <w:r>
        <w:t>https://mcp.opencaselaw.ch/entscheid/vs_gerichte_F1 24 24</w:t>
      </w:r>
    </w:p>
    <w:p>
      <w:r>
        <w:t>FR: VS_GERICHTE F1 24 24 du 6 mai 2025</w:t>
      </w:r>
    </w:p>
    <w:p>
      <w:r>
        <w:t>IT: VS_GERICHTE F1 24 24 del 6 maggio 2025</w:t>
      </w:r>
    </w:p>
    <w:p>
      <w:pPr>
        <w:pStyle w:val="Heading2"/>
      </w:pPr>
      <w:r>
        <w:t>Regeste</w:t>
      </w:r>
    </w:p>
    <w:p>
      <w:r>
        <w:t>Par arrêt du 6 mai 2025 (9C_630/2024), le Tribunal fédéral a partiellement admis le recours interjeté par X___SA contre ce jugement. F1 24 24 (CCR 2022/11) ARRÊT DU 19 SEPTEMBRE 2024 Tribunal cantonal du Valais Cour de droit fiscal Composition : Frédéric Fellay, président ; Dr Thierry Schnyder, juge, et Christian Salamin, juge assesseur en la cause X _________ SA, recourante, représentée par Y _________ SA, contre COMMISSION CANTONALE D'IMPÔTS DES PERSONNES MORALES, autorité attaquée (Impôt fédéral direct et impôts cantonaux et communaux, périodes fiscales 2012 à 2014) recours contre la décision sur réclamation du 28 janvier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2 mars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Griefs formels et points litigieux</w:t>
      </w:r>
    </w:p>
    <w:p>
      <w:r>
        <w:rPr>
          <w:b/>
        </w:rPr>
        <w:t>E. 2.1</w:t>
      </w:r>
    </w:p>
    <w:p>
      <w:r>
        <w:t>Dans une critique qu’il convient d’examiner en premier lieu, la recourante soutient que les bordereaux de taxation accompagnant la décision sur réclamation comporteraient des reprises non motivées s’ajoutant à celles figurant dans les premières décisions rectificatives. En outre, elle reproche à l’autorité précédente de n’avoir pas annulé les reprises relatives aux passifs transitoires (65'028 fr.), contrairement à ce qu’elle avait annoncé dans sa décision sur réclamation.</w:t>
      </w:r>
    </w:p>
    <w:p>
      <w:r>
        <w:rPr>
          <w:b/>
        </w:rPr>
        <w:t>E. 2.2</w:t>
      </w:r>
    </w:p>
    <w:p>
      <w:r>
        <w:t>Les critiques de la recourante procèdent d’une confusion quant aux différentes décisions rendues par le fisc. En effet, il ressort du bordereau de taxation 2012 notifié le 21 juin 2019 que les reprises sur le bénéfice imposable s’élevaient à 7’180'198 fr. et celles sur le capital imposable à 265'028 francs. Celles-ci ont ensuite été rectifiées sur le bordereau correspondant notifié le 28 janvier 2022, en annexe à la décision sur réclamation, et ramenées à 7'115'170 fr., respectivement à 200'000 fr. La différence de 65'028 fr. correspond ainsi à l’annulation de la reprise liée aux passifs transitoires. Il en va de même s’agissant des bordereaux de taxation 2013 et 2014. Les reprises sur le capital s’élevaient à 679'028 fr. dans les bordereaux notifiés le 21 juin 2019, puis à 614'000 fr. dans ceux notifiés le 28 janvier 2022. Le fisc a donc bien annulé les reprises</w:t>
      </w:r>
    </w:p>
    <w:p>
      <w:r>
        <w:t>- 14 - liées aux passifs transitoires sans ajouter de nouvelles reprises non motivées. La contestation est donc, sur ce point, sans objet.</w:t>
      </w:r>
    </w:p>
    <w:p>
      <w:r>
        <w:rPr>
          <w:b/>
        </w:rPr>
        <w:t>E. 2.3</w:t>
      </w:r>
    </w:p>
    <w:p>
      <w:r>
        <w:t>Le litige porte donc sur les différentes reprises relatives aux honoraires conseil J _________ (540'000 fr.), à la créance I _________ (200'000 fr.), à la créance H _________ Sàrl (414'000 fr.) et aux participations C _________ (6'270'000 fr.). III. Impôt fédéral direct</w:t>
      </w:r>
    </w:p>
    <w:p>
      <w:r>
        <w:rPr>
          <w:b/>
        </w:rPr>
        <w:t>E. 3.1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2e tiret), ainsi que les distributions dissimulées de bénéfice (let. b 5e tiret). Les amortissements des actifs justifiés par l'usage commercial sont autorisés, à condition que ceux-ci soient comptabilisés ou, à défaut d'une comptabilité tenue selon l'usage commercial, qu'ils apparaissent dans un plan spécial d'amortissements (art. 62 al. 1 LIFD). Un amortissement est justifié par l'usage commercial dans la mesure où il permet de tenir compte d'une véritable moins-value d'un poste au bilan. Il n'est pas admissible de procéder à l'amortissement d'actifs fictifs, c'est-à-dire d'actifs qui, dès l'origine, n'ont aucune valeur ou une valeur surfaite (arrêt du Tribunal fédéral 2C_116/2021 du 8 juillet 2021 consid. 7.1 et les références citées).</w:t>
      </w:r>
    </w:p>
    <w:p>
      <w:r>
        <w:rPr>
          <w:b/>
        </w:rPr>
        <w:t>E. 3.2</w:t>
      </w:r>
    </w:p>
    <w:p>
      <w:r>
        <w:t>L'art. 58 al. 1 let. a LIFD énonce le principe de l'autorité du bilan commercial (ou principe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l'art. 58 al. 1 let. b LIFD (ATF 147 II 209 consid. 3.1.1 et 141 II 83 consid. 3.1).</w:t>
      </w:r>
    </w:p>
    <w:p>
      <w:r>
        <w:rPr>
          <w:b/>
        </w:rPr>
        <w:t>E. 3.3</w:t>
      </w:r>
    </w:p>
    <w:p>
      <w:r>
        <w:t>Suivant l’art. 58 al. 1 let. b LIFD, les charges de l’entreprise doivent être réintégrées au bénéfice imposable lorsqu’elles ne servent pas à couvrir des « dépenses justifiées par l’usage commercial » (geschäftsmässig begründeter Aufwand ; DANON in Commentaire romand de l’impôt fédéral direct, 2ème éd. 2017, n. 129 ad. art. 57 LIFD).</w:t>
      </w:r>
    </w:p>
    <w:p>
      <w:r>
        <w:t>- 15 - 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(arrêt du Tribunal fédéral 9C_671/2022 du 16 août 2023 consid. 6.2.2 et les références). Pour juger de la justification commerciale d’une dépense, l’administration fiscale ne saurait substituer sa propre appréciation à celle du contribuable, de sorte qu’elle n’interviendra que si une telle dépense ne peut objectivement pas être expliquée commercialement (DANON, op. cit., n. 129 ad art. 57 LIFD).</w:t>
      </w:r>
    </w:p>
    <w:p>
      <w:r>
        <w:rPr>
          <w:b/>
        </w:rPr>
        <w:t>E. 3.4</w:t>
      </w:r>
    </w:p>
    <w:p>
      <w:r>
        <w:t>Il y a distribution dissimulée de bénéfice au sens de l'art. 58 al. 1 let. b 5e tiret LIFD lorsque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(cf. notamment ATF 144 II 427 consid. 6.1 ; 140 II 88 consid. 4.1 ; 138 I 57 consid. 2.2). Il faut ainsi examiner si la prestation faite par la société aurait été accordée dans la même mesure à un tiers étranger à la société, en d'autres termes si la transaction a respecté le principe de pleine concurrence (« Drittvergleich »; « dealing at arm's length » ; ATF 140 II 88 consid. 4.1). Le droit fiscal suisse ne connaissant pas, sauf disposition légale expresse, de régime spécial pour les groupes de société, les opérations entre sociétés d'un même groupe doivent aussi intervenir comme si elles étaient effectuées entre tiers dans un environnement de libre concurrence (ATF 140 II 88 consid. 4 et 4.1 et les références).</w:t>
      </w:r>
    </w:p>
    <w:p>
      <w:r>
        <w:rPr>
          <w:b/>
        </w:rPr>
        <w:t>E. 3.5</w:t>
      </w:r>
    </w:p>
    <w:p>
      <w:r>
        <w:t>L'art. 123 al. 1 LIFD prévoit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 ATF 142 II 69 consid. 5.1). Le contribuable est tenu de faire tout ce qui est nécessaire pour assurer une taxation complète et exacte (art. 126 al. 1 LIFD). A la demande de l'autorité de taxation, il est tenu de fournir des renseignements oraux ou écrits, de présenter ses livres comptables, les pièces justificatives et autres attestations ainsi que les pièces</w:t>
      </w:r>
    </w:p>
    <w:p>
      <w:r>
        <w:t>- 16 - concernant ses relations d'affaires (art. 126 al. 2 LIFD). L'art. 126 LIFD exprime une obligation de collaboration générale de la part du contribuable, dont la limite découle avant tout du caractère nécessaire à une taxation complète et exacte et du principe de proportionnalité (ATF 142 précité consid. 5.1.1). Le principe de l'autorité du bilan commercial est ancré dans la procédure de taxation mixte : dans le cadre de son obligation d’instruire, l’autorité de taxation peut exiger des renseignements sur l’arrière-plan réel de chaque écriture. Le contribuable supporte les conséquences de l’absence de preuve, l’autorité de taxation pouvant refuser la reconnaissance fiscale de l’écriture correspondante (ATF 147 II 209 consid. 5.1). En cas de distribution dissimulée de bénéfice, les autorités fiscales doivent apporter la preuve que la société a fourni une prestation et qu'elle n'a pas obtenu de contre- 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(arrêt du Tribunal fédéral 9C_678/2022 du 5 juin 2023 consid. 7.3 et les références). a) Honoraires conseil J _________</w:t>
      </w:r>
    </w:p>
    <w:p>
      <w:r>
        <w:rPr>
          <w:b/>
        </w:rPr>
        <w:t>E. 3.6.1</w:t>
      </w:r>
    </w:p>
    <w:p>
      <w:r>
        <w:t>La recourante conteste la reprise opérée par la CIPM concernant les honoraires de conseil J _________, qui avaient été portés à charge de l’exercice 2012 dans la rubrique « autres honoraires », sous le libellé « J _________ – Hon Conseil ». Dans son mémoire céans, elle soutient avoir procédé, en xxxx, à une offre publique d’achat sur les actions de la société cotée BB _________ SA, sous le nom de projet « JJ _________ », et allègue avoir recouru, à cette fin, notamment aux services de la société J _________ pour des prestations de communication et de négociation. La recourante affirme également que K _________ Sàrl, employeur de E _________, gérait alors toutes les sociétés qu’elle détenait et lui facturait ensuite des honoraires à ce titre. Ainsi, bien que les honoraires de J _________ aient été facturés à K _________ Sàrl, ce serait la recourante qui aurait effectivement réglé cette facture en tant que bénéficiaire des services. Bien que la recourante admette que, d’un point de vue formel, K _________ Sàrl aurait dû lui refacturer lesdits honoraires, elle relève que l’incidence fiscale de cette prestation aurait été la même puisqu’il lui revenait d’assumer les honoraires se rapportant à KK _________ « JJ _________ ».</w:t>
      </w:r>
    </w:p>
    <w:p>
      <w:r>
        <w:t>- 17 -</w:t>
      </w:r>
    </w:p>
    <w:p>
      <w:r>
        <w:rPr>
          <w:b/>
        </w:rPr>
        <w:t>E. 3.6.2</w:t>
      </w:r>
    </w:p>
    <w:p>
      <w:r>
        <w:t>La recourante se limite ce faisant à substituer sa propre version des faits à celle retenue par le SCC, sans chercher à démontrer en quoi cette dernière se heurterait aux pièces figurant au dossier. Ses allégations céans ne sont aucunement étayées, ni accompagnées d’une quelconque offre de preuve, alors même que le fardeau de la preuve lui incombe. L’on peut ainsi relever, avec la CIPM, que la copie de la facture du 17 janvier 2012 que la recourante avait, le 5 mars 2019, produite au titre de pièce justificative, était adressée à la société K _________ Sàrl. La nouvelle facture, strictement identique, mais libellée cette fois-ci à son nom, que la recourante a par la suite remise au fisc, le 31 août 2021, ne revêt qu’une très faible valeur probante. Elle ne saurait établir la réalité de la dépense que prétend avoir assumée la recourante, ce d’autant que le dossier ne renferme aucun contrat écrit se rapportant aux prestations de service alléguées et que la recourante n’a produit aucune déclaration écrite d’un représentant de la société J _________ ni de quelconques courriels ou courriers échangés dans ce contexte. La recourante n’a pas sollicité l’audition de témoin et n’a pas non plus été en mesure de produire un avis de crédit ou de débit, échouant ainsi à apporter la preuve du paiement de la charge litigieuse. Assistée d’un mandataire professionnel, elle n’a pas davantage versé en cause de quelconques éléments prouvant la réalité des démarches qu’elle aurait vainement entreprises afin d’appuyer sa version de faits, alors même qu’elle avait été interpellée à ce sujet par le SCC à plusieurs reprises. Dans ces conditions, la reprise de 540'000 fr. opérée par le fisc au titre des charges d’honoraires J _________ ne peut qu’être confirmée, la recourante ne parvenant à apporter la preuve de l’existence et de la justification commerciale de cette dépense. b) Créance H _________ Sàrl</w:t>
      </w:r>
    </w:p>
    <w:p>
      <w:r>
        <w:rPr>
          <w:b/>
        </w:rPr>
        <w:t>E. 3.7.1</w:t>
      </w:r>
    </w:p>
    <w:p>
      <w:r>
        <w:t>La recourante conteste à nouveau les faits retenus par l’autorité précédente en lien avec cette reprise de 414'000 fr. Dans son mémoire, elle allègue détenir l’intégralité du capital-actions de la société H _________ Sàrl, raison pour laquelle elle l’avait soutenue financièrement par des apports successifs. Entre 2012 et 2014, il était arrivé que des apports de fonds urgents et nécessaires au bon fonctionnement des filiales de la recourante aient été effectués par E _________ et F _________, en leur nom, mais pour le compte de X _________ SA, celle-ci ne disposant pas des liquidités nécessaires suffisantes. Selon la recourante, E _________ ne lui aurait donc jamais vendu sa créance envers H _________ Sàrl</w:t>
      </w:r>
    </w:p>
    <w:p>
      <w:r>
        <w:t>- 18 -</w:t>
      </w:r>
    </w:p>
    <w:p>
      <w:r>
        <w:rPr>
          <w:b/>
        </w:rPr>
        <w:t>E. 3.7.2</w:t>
      </w:r>
    </w:p>
    <w:p>
      <w:r>
        <w:t>Le contrôle fiscal a montré qu’E _________ détenait une créance de 278'000 fr. au 31 décembre 2012, puis de 414'000 fr. au décembre 2013, à l’encontre la société H _________ Sàrl. Le dossier ne comporte cependant aucune trace d’un contrat de prêt entre E _________ et H _________ Sàrl, ni d’accord entre E _________ et la recourante pour que celui-ci injecte des fonds dans la société H _________ Sàrl en son nom, mais pour le compte de la recourante. Le seul contrat de prêt prévoyant la mise à disposition d’une ligne de crédit entre X _________ SA et H _________ Sàrl figurant au dossier est daté du 30 juin 2015 ; il concerne un montant global de 1'089'214 fr., correspondant à un « montant prêté au 31 décembre 2014 » (cf. p. 240-241 du dossier de la CIPM). Cela étant, l’on observe que, dans le bilan de la société H _________ Sàrl, figurait au passif un compte courant actionnaire pour un montant de 278'000 fr. en 2012 et de 633'892 fr. en 2013. L’argument selon lequel la recourante, qui est actionnaire unique de la société H _________ Sàrl, n’avait pas les moyens de financer les montants de prêts à cette dernière, ne peut dès lors pas être retenu. Il n’est au surplus pas contesté qu’après avoir procédé au paiement de la créance d’E _________ de 414'000 fr., la recourante l’a immédiatement provisionnée à 100%, ce qui montre qu’elle savait la société H _________ Sàrl insolvable. Le fisc a, à cet égard, valablement constaté que cette dernière était en situation de surendettement au sens de l’art. 725 CO (il ressort par ailleurs du site zefix.ch que, par jugement du xx.xx.xxxx3, le Tribunal LL _________ a ordonné la liquidation sommaire de la faillite). Ce qui précède conduit à retenir que la créance de E _________, rachetée à sa valeur vénale, l’a été sans contreprestation correspondante, puisque celle-ci n’avait, en réalité, plus de valeur sur le marché. En outre, E _________, bénéficiaire de cette prestation, revêtait non seulement la qualité d’actionnaire unique de X _________ SA (laquelle détient intégralement H _________ Sàrl, la société débitrice), mais se trouvait être le MM _________ du gérant et actionnaire exclusif de H _________ Sàrl. Cela étant, la créance envers la société H _________ Sàrl a été qualifiée à bon droit d’actif fictif et il sied d’admettre que l’opération réalisée en l’espèce ne l’aurait pas été dans un environnement de pleine concurrence, de sorte que l’on se trouve en présence d’une distribution dissimulée de bénéfice. Au vu de ce qui précède, la reprise de 440'000 fr. doit être également confirmée. c) Créance I _________</w:t>
      </w:r>
    </w:p>
    <w:p>
      <w:r>
        <w:rPr>
          <w:b/>
        </w:rPr>
        <w:t>E. 3.8.1</w:t>
      </w:r>
    </w:p>
    <w:p>
      <w:r>
        <w:t>La recourante conteste la reprise relative à la créance envers I _________ à l’appui d’une même argumentation que celle développée en lien avec la créance H _________ Sàrl. Selon elle, le montant de 200'000 fr. concerné aurait été lui aussi avancé à</w:t>
      </w:r>
    </w:p>
    <w:p>
      <w:r>
        <w:t>- 19 - I _________ par E _________ et F _________, en leur nom, mais pour le compte de la recourante, ceci pour faire face à un besoin de trésorerie urgent. La recourante relève qu’à la fin 2012, elle avait une créance envers I _________ de l’ordre de 4,9 millions de francs, résultant d’avances de fonds pour le paiement de ses dépenses de fonctionnement., preuve que c’était bien elle qui finançait en réalité I _________.</w:t>
      </w:r>
    </w:p>
    <w:p>
      <w:r>
        <w:rPr>
          <w:b/>
        </w:rPr>
        <w:t>E. 3.8.2</w:t>
      </w:r>
    </w:p>
    <w:p>
      <w:r>
        <w:t>A nouveau, la recourante n’avance aucun élément pertinent propre à remettre en cause les constatations et l’analyse du fisc sur la base des opérations mises en évidence par l’expert dans son rapport du 29 mai 2019, synthétisées sous lettre B.d ci-dessus. Il est ainsi constant qu’au moment du rachat, par X _________ SA, de la créance de 200'000 fr. de E _________ envers I _________, le 31 décembre 2012, cette société était en état de surendettement. La recourante a d’ailleurs immédiatement et entièrement provisionné cette créance, ce qui démontre valablement qu’elle savait I _________, qui a par la suite été mise en faillite, insolvable. Il s’impose donc également d’admettre que la créance de E _________ a été rachetée par la recourante à la valeur vénale sans contreprestation correspondante, puisque celle-ci n’avait alors plus de valeur sur le marché. En outre, le bénéficiaire de cette prestation est l’actionnaire unique de la recourante. Un tel prix n’aurait pas été accordé à un tiers dans la même situation et cet avantage était aisément reconnaissable par les organes de la société. Il s’impose ainsi de confirmer les reprises effectuées sur ce point. d) Participations C _________ SA</w:t>
      </w:r>
    </w:p>
    <w:p>
      <w:r>
        <w:rPr>
          <w:b/>
        </w:rPr>
        <w:t>E. 3.9.1</w:t>
      </w:r>
    </w:p>
    <w:p>
      <w:r>
        <w:t>La recourante s’en prend finalement à la reprise relative aux participations C _________ SA. Elle critique la décision entreprise en ce qu’elle lui reprochait de n’avoir ni rapporté la preuve que E _________ lui avait remis 330'000 actions en 2011 ou en 2012, ni la preuve de leur revente en 2012. Elle estime avoir fourni cette preuve dans le cadre de sa réponse du 31 août 2021 à la demande de renseignements du fisc, pièce qu’elle dépose à nouveau sous annexe 12 de son mémoire. Selon elle, les relevés de dépôts de titre de la II _________ démontraient l’apport des 330'000 actions et justifiaient pleinement l’augmentation du compte courant actionnaire de E _________. Ces actions avaient été acquises au prix de 19 fr. ce qui correspondait exactement au prix payé par E _________. En tous les cas, la recourante conteste que l’opération litigieuse puisse affecter le bénéfice imposable.</w:t>
      </w:r>
    </w:p>
    <w:p>
      <w:r>
        <w:rPr>
          <w:b/>
        </w:rPr>
        <w:t>E. 3.9.2</w:t>
      </w:r>
    </w:p>
    <w:p>
      <w:r>
        <w:t>Contrairement à ce que soutient la recourante, les pièces du dossier laissent effectivement apparaître un écart de 330'000 actions C _________ SA entre le bilan</w:t>
      </w:r>
    </w:p>
    <w:p>
      <w:r>
        <w:t>- 20 - 2011 et 2012, tel que valablement mis en évidence par l’Inspectorat fiscal, puis par la CIPM. Ceci correspond à la différence entre le nombre d’actions vendues en 2012, qui s’élevait à 807'008 actions, et le nombre total d’actions vendues selon la comptabilité, qui s’élevait à 477'008 (807'000 – 477'008 = 330’000). Or, nonobstant plusieurs requêtes visant à obtenir des informations sur l’origine de ces actions, la recourante n’a pas pu fournir d’explications précises. Elle s’est contentée de soutenir, en substance, qu’elle les avait acquises en 2011, grâce à un prêt octroyé par L _________ à elle et à E _________, qu’elles avaient toutefois été déclarées par E _________ dans sa déclaration pour personne physique 2011, puis, qu’en 2012, les comptes de la société recourante avaient été corrigés pour tenir compte, d’une part, de l’acquisition de ces actions et, d’autre part, d’une créance en faveur de E _________ qui devait se charger de rembourser le prêt. Ses explications n’étaient toutefois étayées d’aucune pièce et n’ont, à juste titre, pas été jugées convaincantes par l’Inspectorat fiscal et le SCC Interpellée à ce sujet une dernière fois par le SCC le 15 novembre 2021, elle s’est contentée d’indiquer, par l’intermédiaire de son mandataire : « Je pense que c’est la ligne du 25.5.2012 qui est incorrect[e]. Le nombre d’actions est nettement supérieur. Je vais rassembler les documents bancaires et vous les transmettrai. » (cf. p. 15 du dossier de la CIPM) sans toutefois produire de pièce par la suite. Le dossier ne contient ainsi aucun élément propre à appuyer la version soutenue par la recourante. Aucun document n’atteste d’un transfert d’actions entre la recourante et E _________, ni même de pièce expliquant la réintégration des actions intervenues en 2012. Les seules pièces au dossier concernant les titres détenus auprès de la II _________ permettent d’établir que la recourante a placé 324'000 titres de BB _________ SA auprès de cet institut au cours du mois de février 2011. Ces titres ne provenaient par ailleurs pas d’une cession faite par E _________ à la recourante, mais d’acquisition directe de celle-ci auprès de R _________ (70'000 titres), N _________. (70'000 titres) et L _________ (110'000 titres) (cf. contrats signés le 19 janvier 2011, p. 70, 78 et 81 du dossier de la CIPM). La société a donc échoué à démontrer que E _________ lui aurait apporté ces actions, de sorte que l’augmentation du compte courant actionnaire de E _________ ne saurait se justifier. Compte tenu ce qui précède, il doit être retenu que la recourante a acquis pour son compte les 330'000 actions litigieuses et que cette acquisition n’a vraisemblablement pas été déclarée. Il n’y avait donc pas lieu de verser un montant de 6'270'000 fr. pour une acquisition subséquente à E _________, celui-ci n’ayant pu démontrer avoir apporté ces actions à la société, quoiqu’en dise la recourante.</w:t>
      </w:r>
    </w:p>
    <w:p>
      <w:r>
        <w:t>- 21 - Par ailleurs, contrairement à ce que souligne la recourante dans son écriture, il ne s’agit pas d’une « pure écriture bilancielle », mais bel et bien d’une prestation appréciable en argent en faveur de l’actionnaire. Il y avait donc bien lieu de réintégrer cette charge au bénéfice imposable (cf. art. 58 al. 1 let. b LIFD). Cela scelle le sort du recours sans qu’il n’y ait lieu d’entrer en matière sur la seconde hypothèse décrite par la recourante, à savoir qu’il pourrait s’agir d’un apport suivi d’un prélèvement d’actions par l’actionnaire pour ses propres besoins dont les gains seraient exonérés compte tenu de son statut de société holding. Il est souligné que cette hypothèse ne repose en tous les cas sur aucune pièce du dossier. IV. Impôts cantonaux et communaux</w:t>
      </w:r>
    </w:p>
    <w:p>
      <w:r>
        <w:rPr>
          <w:b/>
        </w:rPr>
        <w:t>E. 4</w:t>
      </w:r>
    </w:p>
    <w:p>
      <w:r>
        <w:t>L’art. 24 al. 1 let. a LHID prévoit que l’impôt sur le bénéfice a pour objet l’ensemble du bénéfice net, y compris les charges non justifiées par l’usage commercial portées au débit du compte de résultat. Cette règle est concrétisée en droit valaisan par l’art. 81 al. 1 let. a et b LF, qui correspond à l’art. 58 al. 1 let. a et b LIFD. La jurisprudence rendue en matière d’impôt fédéral direct et de répartition du fardeau de la preuve en matière fiscale étant également valable pour l’application des dispositions cantonales harmonisées correspondantes (ATF 140 II 88 consid. 10 ; arrêt du Tribunal fédéral 2C_11/2018 du 10 octobre 2018 consid. 11), il peut être renvoyé, s’agissant de l’impôt cantonal et communal, à la motivation développée en matière d’impôt fédéral direct. Il en va de même s’agissant du sort des provisions non admises (cf. art. 63 LIFD, 29 LHID, art. 25 LF ; arrêt du Tribunal fédéral 2C_712/2020 du 4 mars 2021 consid. 6.2).</w:t>
      </w:r>
    </w:p>
    <w:p>
      <w:r>
        <w:t>V. Conclusion, frais et dépens</w:t>
      </w:r>
    </w:p>
    <w:p>
      <w:r>
        <w:rPr>
          <w:b/>
        </w:rPr>
        <w:t>E. 5.1</w:t>
      </w:r>
    </w:p>
    <w:p>
      <w:r>
        <w:t>Attendu ce qui précède, le recours est rejeté dans la mesure de sa recevabilité, tant en matière d’impôt fédéral direct qu’en matière d’impôts cantonal et communal (art. 80 al. 1 let. e et 60 al. 1 LPJA).</w:t>
      </w:r>
    </w:p>
    <w:p>
      <w:r>
        <w:rPr>
          <w:b/>
        </w:rPr>
        <w:t>E. 5.2</w:t>
      </w:r>
    </w:p>
    <w:p>
      <w:r>
        <w:t>Vu l'issue du litige, les frais de la cause doivent être mis à la charge de la recourante qui n’a pas droit à des dépens (art. 89 al. 1 et 91 al. 1 a contrario LPJA par renvoi de l’art. 150 al. 3 LF).</w:t>
      </w:r>
    </w:p>
    <w:p>
      <w:r>
        <w:rPr>
          <w:b/>
        </w:rPr>
        <w:t>E. 5.3</w:t>
      </w:r>
    </w:p>
    <w:p>
      <w:r>
        <w:t>Eu égard aux principes de la couverture des frais et de l’équivalence des prestations et compte tenu des critères d'appréciation et des limites des art. 13 al. 1 et 25 LTar,</w:t>
      </w:r>
    </w:p>
    <w:p>
      <w:r>
        <w:t>- 22 - l'émolument de justice est fixé à 3500 fr., débours compris (art. 11 LTar par renvoi de l’art. 150 al. 3 LF).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